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January 15, 2015</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b w:val="1"/>
          <w:u w:val="single"/>
          <w:rtl w:val="0"/>
        </w:rPr>
        <w:t xml:space="preserve">More of Socrates’ “Apology”</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This weekend read p. 41 (“Someone…”) to p. 43 (“...witness.”). Annotate and fill in the lines in the margins. Then, answer all of the following questions. The first question just needs a few sentences, the second two a full paragraph or two each.</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rtl w:val="0"/>
        </w:rPr>
        <w:t xml:space="preserve">1. What does Socrates believe about death? Cite the text.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2. What does Socrates believe most people spend too much time worrying about? What should they be worrying about? Cite the text. What do you think of this issue?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3. Socrates compares himself to a gadfly. Look up this word and then discuss the analogy using the vocabulary of tenor, vehicle, and aspect. </w:t>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gadfly and the soul.docx</dc:title>
</cp:coreProperties>
</file>